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79" w:rsidRDefault="00357379" w:rsidP="0035737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3300"/>
          <w:sz w:val="88"/>
          <w:szCs w:val="88"/>
        </w:rPr>
      </w:pPr>
      <w:r>
        <w:rPr>
          <w:rFonts w:ascii="LiberationSerif-Bold" w:hAnsi="LiberationSerif-Bold" w:cs="LiberationSerif-Bold"/>
          <w:b/>
          <w:bCs/>
          <w:noProof/>
          <w:color w:val="000000"/>
          <w:sz w:val="30"/>
          <w:szCs w:val="30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58.95pt;margin-top:43.05pt;width:139.5pt;height:90pt;z-index:251659264" fillcolor="yellow">
            <v:textbox>
              <w:txbxContent>
                <w:p w:rsidR="00357379" w:rsidRPr="00357379" w:rsidRDefault="00357379">
                  <w:pPr>
                    <w:rPr>
                      <w:rFonts w:ascii="Arial Narrow" w:hAnsi="Arial Narrow" w:cs="Angsana New"/>
                      <w:b/>
                      <w:i/>
                      <w:u w:val="single"/>
                    </w:rPr>
                  </w:pPr>
                  <w:r w:rsidRPr="00357379">
                    <w:rPr>
                      <w:rFonts w:ascii="Arial Narrow" w:hAnsi="Arial Narrow" w:cs="Angsana New"/>
                      <w:b/>
                      <w:i/>
                      <w:u w:val="single"/>
                    </w:rPr>
                    <w:t>НОВИНКА</w:t>
                  </w:r>
                  <w:r>
                    <w:rPr>
                      <w:rFonts w:ascii="Arial Narrow" w:hAnsi="Arial Narrow" w:cs="Angsana New"/>
                      <w:b/>
                      <w:i/>
                      <w:u w:val="single"/>
                    </w:rPr>
                    <w:t>!!</w:t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color w:val="FF3300"/>
          <w:sz w:val="88"/>
          <w:szCs w:val="88"/>
        </w:rPr>
        <w:t>СЕРА (ВСК)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113665</wp:posOffset>
            </wp:positionV>
            <wp:extent cx="1762125" cy="3009900"/>
            <wp:effectExtent l="19050" t="0" r="9525" b="0"/>
            <wp:wrapThrough wrapText="bothSides">
              <wp:wrapPolygon edited="0">
                <wp:start x="-234" y="0"/>
                <wp:lineTo x="-234" y="21463"/>
                <wp:lineTo x="21717" y="21463"/>
                <wp:lineTo x="21717" y="0"/>
                <wp:lineTo x="-23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 xml:space="preserve">                            45 г, 150 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>шт</w:t>
      </w:r>
      <w:proofErr w:type="spellEnd"/>
      <w:r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>/</w:t>
      </w:r>
      <w:proofErr w:type="spellStart"/>
      <w:r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  <w:t>кор</w:t>
      </w:r>
      <w:proofErr w:type="spellEnd"/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0"/>
          <w:szCs w:val="30"/>
        </w:rPr>
      </w:pPr>
      <w:r>
        <w:rPr>
          <w:rFonts w:ascii="LiberationSerif-Bold" w:hAnsi="LiberationSerif-Bold" w:cs="LiberationSerif-Bold"/>
          <w:b/>
          <w:bCs/>
          <w:sz w:val="30"/>
          <w:szCs w:val="30"/>
        </w:rPr>
        <w:t xml:space="preserve">Сера (ВСК) </w:t>
      </w:r>
      <w:r>
        <w:rPr>
          <w:rFonts w:ascii="LiberationSerif" w:hAnsi="LiberationSerif" w:cs="LiberationSerif"/>
          <w:sz w:val="30"/>
          <w:szCs w:val="30"/>
        </w:rPr>
        <w:t>— неорганический фунгицид с антисептическим эффектом,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0"/>
          <w:szCs w:val="30"/>
        </w:rPr>
      </w:pPr>
      <w:r>
        <w:rPr>
          <w:rFonts w:ascii="LiberationSerif" w:hAnsi="LiberationSerif" w:cs="LiberationSerif"/>
          <w:sz w:val="30"/>
          <w:szCs w:val="30"/>
        </w:rPr>
        <w:t>подающийся в форме водно-суспензионного концентрата (ВСК).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0"/>
          <w:szCs w:val="30"/>
        </w:rPr>
      </w:pPr>
      <w:r>
        <w:rPr>
          <w:rFonts w:ascii="LiberationSerif" w:hAnsi="LiberationSerif" w:cs="LiberationSerif"/>
          <w:sz w:val="30"/>
          <w:szCs w:val="30"/>
        </w:rPr>
        <w:t>Сера одно из старых, проверенных временем, средств против грибковой плесени, гнилостных грибков и бактериальных поражений.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0"/>
          <w:szCs w:val="30"/>
        </w:rPr>
      </w:pPr>
      <w:r>
        <w:rPr>
          <w:rFonts w:ascii="LiberationSerif" w:hAnsi="LiberationSerif" w:cs="LiberationSerif"/>
          <w:sz w:val="30"/>
          <w:szCs w:val="30"/>
        </w:rPr>
        <w:t>Может сочетаться с другими фунгицидами и инсектицидами, не загрязняет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30"/>
          <w:szCs w:val="30"/>
        </w:rPr>
      </w:pPr>
      <w:r>
        <w:rPr>
          <w:rFonts w:ascii="LiberationSerif" w:hAnsi="LiberationSerif" w:cs="LiberationSerif"/>
          <w:sz w:val="30"/>
          <w:szCs w:val="30"/>
        </w:rPr>
        <w:t>окружающую среду, нетоксична для растений.</w:t>
      </w:r>
    </w:p>
    <w:p w:rsidR="00357379" w:rsidRPr="00F76F4C" w:rsidRDefault="00357379" w:rsidP="00357379">
      <w:r>
        <w:rPr>
          <w:rFonts w:ascii="LiberationSerif" w:hAnsi="LiberationSerif" w:cs="LiberationSerif"/>
          <w:sz w:val="30"/>
          <w:szCs w:val="30"/>
        </w:rPr>
        <w:t>Защитное действие проявляется через 3-4 часа после обработки.</w:t>
      </w:r>
    </w:p>
    <w:p w:rsidR="00357379" w:rsidRDefault="00357379" w:rsidP="0035737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000000"/>
          <w:sz w:val="30"/>
          <w:szCs w:val="30"/>
        </w:rPr>
      </w:pPr>
    </w:p>
    <w:sectPr w:rsidR="00357379" w:rsidSect="00E5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7379"/>
    <w:rsid w:val="00357379"/>
    <w:rsid w:val="00E5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2019-01-25T08:11:00Z</dcterms:created>
  <dcterms:modified xsi:type="dcterms:W3CDTF">2019-01-25T08:16:00Z</dcterms:modified>
</cp:coreProperties>
</file>